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Gift Acceptance Policy</w:t>
        <w:br w:type="textWrapping"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[Organization Name]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Date Adopted: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[Updated Date]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Date Reviewed: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[Updated Date]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[Organization Name] solicits and accepts gifts for purposes that will help the organization further and fulfill its mission. [Organization Name] urges all prospective donors to seek the assistance of personal legal and financial advisors in matters relating to their gifts, including the resulting tax and estate planning consequences.</w:t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The following policies and guidelines govern the acceptance of gifts made to [Organization Name] for the benefit of any of its operations, programs, or services.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gtdee92z896c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Considerations for Gift Acceptance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When considering whether to solicit or accept gifts, the organization will evaluate: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0" w:afterAutospacing="0" w:before="24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Mission Alignment: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The organization will accept gifts that are consistent with its mission and will not accept gifts that would compromise its mission, integrity, or independence.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Values: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No gift shall compromise any of the core values of [Organization Name].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Legal and Ethical Compliance: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All gifts must comply with applicable laws, regulations, and ethical standards. The organization will not accept gifts that may be deemed illegal, unethical, or in conflict with its values.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Compatibility: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There must be compatibility between the intent of the donor and the organization’s use of the gift.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Public Relationships: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The acceptance of the gift should not endanger or damage the reputation of [Organization Name].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center" w:leader="none" w:pos="4680"/>
          <w:tab w:val="right" w:leader="none" w:pos="9360"/>
        </w:tabs>
        <w:spacing w:after="24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Form of Gift: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The gift offered shall be in a form that [Organization Name] can use without incurring substantial expense or difficulty.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fktkwq8jhyj4" w:id="1"/>
      <w:bookmarkEnd w:id="1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Final Decisions on Gifts</w:t>
      </w:r>
    </w:p>
    <w:p w:rsidR="00000000" w:rsidDel="00000000" w:rsidP="00000000" w:rsidRDefault="00000000" w:rsidRPr="00000000" w14:paraId="0000000E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The Executive Committee of the Board will make all decisions to solicit and/or accept potentially controversial gifts in consultation with the Executive Director. The primary consideration will be the impact of the gift on the organization.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vuf3s13tv286" w:id="2"/>
      <w:bookmarkEnd w:id="2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Use of Legal Counsel</w:t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[Organization Name] will seek legal counsel in matters related to gift acceptance when appropriate. Review by counsel is recommended for: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after="0" w:afterAutospacing="0" w:before="24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Gifts of securities subject to restrictions or buy-sell agreements.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Documents naming [Organization Name] as trustee or requiring it to act in any fiduciary capacity.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Gifts requiring the organization to assume financial or other obligations.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Transactions with potential conflicts of interest.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center" w:leader="none" w:pos="4680"/>
          <w:tab w:val="right" w:leader="none" w:pos="9360"/>
        </w:tabs>
        <w:spacing w:after="24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Gifts of property that may be subject to environmental or other regulatory restrictions.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qi2wx0gumuk6" w:id="3"/>
      <w:bookmarkEnd w:id="3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Restrictions on Gifts</w:t>
      </w:r>
    </w:p>
    <w:p w:rsidR="00000000" w:rsidDel="00000000" w:rsidP="00000000" w:rsidRDefault="00000000" w:rsidRPr="00000000" w14:paraId="00000017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[Organization Name] will not accept gifts that: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center" w:leader="none" w:pos="4680"/>
          <w:tab w:val="right" w:leader="none" w:pos="9360"/>
        </w:tabs>
        <w:spacing w:after="0" w:afterAutospacing="0" w:before="24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Would result in violating its corporate charter.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Would result in losing its status as a 501(c)(3) not-for-profit organization.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Are too difficult or too expensive to administer in relation to their value.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Would result in any unacceptable consequences for the organization.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center" w:leader="none" w:pos="4680"/>
          <w:tab w:val="right" w:leader="none" w:pos="9360"/>
        </w:tabs>
        <w:spacing w:after="24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Are for purposes outside the organization’s mission.</w:t>
        <w:br w:type="textWrapping"/>
        <w:t xml:space="preserve">Decisions on the restrictive nature of a gift and its acceptance or refusal shall be made by the Executive Committee of the Board, in consultation with the Executive Director.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ozb6ppgq9yee" w:id="4"/>
      <w:bookmarkEnd w:id="4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Gifts Generally Accepted Without Review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24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Cash: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Cash gifts are acceptable in any form, including by check, money order, credit card, payment apps, and ACH.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Marketable Securities: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Securities may be transferred electronically to an account maintained at a brokerage firm or delivered physically with proper endorsement. All marketable securities will be sold promptly upon receipt unless restrictions apply.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Bequests and Beneficiary Designations: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Donors are encouraged to make bequests to [Organization Name] under their wills and name [Organization Name] as the beneficiary under trusts, life insurance policies, commercial annuities, and retirement plans.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Charitable Remainder Trusts: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[Organization Name] will accept designation as a remainder beneficiary of charitable remainder trusts.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Charitable Lead Trusts: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[Organization Name] will accept designation as an income beneficiary of charitable lead trusts.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E-Money (e.g., Bitcoin and other cryptocurrencies).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center" w:leader="none" w:pos="4680"/>
          <w:tab w:val="right" w:leader="none" w:pos="9360"/>
        </w:tabs>
        <w:spacing w:after="24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Donor Advised Funds (DAFs):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Contributions from donor-advised funds are accepted, provided that the donor acknowledges that no goods or services were received in exchange and that the organization retains full control over the funds.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tabs>
          <w:tab w:val="center" w:leader="none" w:pos="4680"/>
          <w:tab w:val="right" w:leader="none" w:pos="9360"/>
        </w:tabs>
        <w:spacing w:line="276" w:lineRule="auto"/>
        <w:ind w:left="720" w:hanging="360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eu37kuc7fyhh" w:id="5"/>
      <w:bookmarkEnd w:id="5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Gifts Accepted Subject to Prior Review</w:t>
      </w:r>
    </w:p>
    <w:p w:rsidR="00000000" w:rsidDel="00000000" w:rsidP="00000000" w:rsidRDefault="00000000" w:rsidRPr="00000000" w14:paraId="00000026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Certain forms of gifts or donated properties may be subject to review before acceptance. Examples include: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after="0" w:afterAutospacing="0" w:before="24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Tangible Personal Property: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The Executive Committee shall review tangible property gifts to determine suitability based on mission alignment, marketability, restrictions, and costs.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Life Insurance: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[Organization Name] will accept life insurance gifts where it is named as both beneficiary and irrevocable owner. Donors must cover any future premium payments.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Real Estate: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All real estate gifts are subject to review by the Executive Committee, including an initial environmental assessment. Criteria for acceptance include marketability, restrictions, carrying costs, and environmental impact.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center" w:leader="none" w:pos="4680"/>
          <w:tab w:val="right" w:leader="none" w:pos="9360"/>
        </w:tabs>
        <w:spacing w:after="240" w:before="0" w:beforeAutospacing="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E-Currency: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Gifts of electronic currencies are subject to prior review to determine liquidity and regulatory compliance.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after="24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This policy is intended to provide guidance for donors and [Organization Name] in handling gifts while ensuring alignment with mission and values. The policy will be reviewed periodically to ensure compliance with best practices and regulatory changes.</w:t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584" w:left="1440" w:right="144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ind w:left="0"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68.0pt;height:156.0pt;rotation:0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Gift Acceptance Policy</w:t>
    </w:r>
  </w:p>
  <w:p w:rsidR="00000000" w:rsidDel="00000000" w:rsidP="00000000" w:rsidRDefault="00000000" w:rsidRPr="00000000" w14:paraId="0000002F">
    <w:pPr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[Organization Name]</w:t>
    </w:r>
  </w:p>
  <w:p w:rsidR="00000000" w:rsidDel="00000000" w:rsidP="00000000" w:rsidRDefault="00000000" w:rsidRPr="00000000" w14:paraId="00000030">
    <w:pPr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Date Adopted:             Date Reviewed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68.0pt;height:156.0pt;rotation:0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line="276" w:lineRule="auto"/>
    </w:pPr>
    <w:rPr>
      <w:rFonts w:ascii="Montserrat" w:cs="Montserrat" w:eastAsia="Montserrat" w:hAnsi="Montserrat"/>
      <w:b w:val="1"/>
      <w:color w:val="0b5394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C3DE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A68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6872"/>
  </w:style>
  <w:style w:type="paragraph" w:styleId="Footer">
    <w:name w:val="footer"/>
    <w:basedOn w:val="Normal"/>
    <w:link w:val="FooterChar"/>
    <w:uiPriority w:val="99"/>
    <w:unhideWhenUsed w:val="1"/>
    <w:rsid w:val="006A68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68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K2cVR5zQCa48t1Kd/8Z9VBeng==">CgMxLjAyDmguZ3RkZWU5Mno4OTZjMg5oLmZrdGt3cThqaHlqNDIOaC52dWYzczEzdHYyODYyDmgucWkyd3gwZ3VtdWs2Mg5oLm96YjZwcGdxOXllZTIOaC5ldTM3a3VjN2Z5aGg4AHIhMW9yQlJ3Z1lRSDkydUhEalA5NGY0c3hkWFB6M0RfZVNf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2019-09-04T01:44:00Z</dcterms:created>
  <dc:creator>Libby Villavicencio</dc:creator>
</cp:coreProperties>
</file>